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台政办字〔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outlineLvl w:val="9"/>
        <w:rPr>
          <w:rFonts w:ascii="方正小标宋简体" w:hAnsi="华文中宋" w:eastAsia="方正小标宋简体"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台儿庄区人民政府办公室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华文中宋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/>
          <w:color w:val="auto"/>
          <w:spacing w:val="-14"/>
          <w:sz w:val="44"/>
          <w:szCs w:val="44"/>
        </w:rPr>
        <w:t>关于印发台儿庄区开展“两全两高”农业机械化发展推进行动实施方案</w:t>
      </w:r>
      <w:r>
        <w:rPr>
          <w:rFonts w:hint="eastAsia" w:ascii="方正小标宋简体" w:hAnsi="华文中宋" w:eastAsia="方正小标宋简体"/>
          <w:color w:val="auto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textAlignment w:val="auto"/>
        <w:outlineLvl w:val="9"/>
        <w:rPr>
          <w:rFonts w:ascii="仿宋_GB2312" w:hAnsi="仿宋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/>
        <w:textAlignment w:val="auto"/>
        <w:outlineLvl w:val="9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各镇人民政府，运河街道办事处，区政府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有关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《台儿庄区开展“两全两高”农业机械化发展推进行动实施方案》已经区政府同意，现印发给你们，请认真遵照执行。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right"/>
        <w:textAlignment w:val="auto"/>
        <w:outlineLvl w:val="9"/>
        <w:rPr>
          <w:rFonts w:ascii="仿宋_GB2312" w:eastAsia="仿宋_GB2312"/>
          <w:color w:val="auto"/>
          <w:spacing w:val="34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/>
        <w:jc w:val="right"/>
        <w:textAlignment w:val="auto"/>
        <w:outlineLvl w:val="9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台儿庄区人民政府办公室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lang w:val="en-US" w:eastAsia="zh-CN"/>
        </w:rPr>
        <w:t xml:space="preserve">  </w:t>
      </w:r>
      <w:r>
        <w:rPr>
          <w:rFonts w:ascii="仿宋_GB2312" w:eastAsia="仿宋_GB2312"/>
          <w:bCs/>
          <w:color w:val="auto"/>
          <w:sz w:val="32"/>
        </w:rPr>
        <w:t>20</w:t>
      </w:r>
      <w:r>
        <w:rPr>
          <w:rFonts w:hint="eastAsia" w:ascii="仿宋_GB2312" w:eastAsia="仿宋_GB2312"/>
          <w:bCs/>
          <w:color w:val="auto"/>
          <w:sz w:val="32"/>
          <w:lang w:val="en-US" w:eastAsia="zh-CN"/>
        </w:rPr>
        <w:t>21</w:t>
      </w:r>
      <w:r>
        <w:rPr>
          <w:rFonts w:hint="eastAsia" w:ascii="仿宋_GB2312" w:eastAsia="仿宋_GB2312"/>
          <w:bCs/>
          <w:color w:val="auto"/>
          <w:sz w:val="32"/>
        </w:rPr>
        <w:t>年</w:t>
      </w:r>
      <w:r>
        <w:rPr>
          <w:rFonts w:hint="eastAsia" w:ascii="仿宋_GB2312" w:eastAsia="仿宋_GB2312"/>
          <w:bCs/>
          <w:color w:val="auto"/>
          <w:sz w:val="32"/>
          <w:lang w:val="en-US" w:eastAsia="zh-CN"/>
        </w:rPr>
        <w:t>4</w:t>
      </w:r>
      <w:r>
        <w:rPr>
          <w:rFonts w:hint="eastAsia" w:ascii="仿宋_GB2312" w:eastAsia="仿宋_GB2312"/>
          <w:bCs/>
          <w:color w:val="auto"/>
          <w:sz w:val="32"/>
        </w:rPr>
        <w:t>月</w:t>
      </w:r>
      <w:r>
        <w:rPr>
          <w:rFonts w:hint="eastAsia" w:ascii="仿宋_GB2312" w:eastAsia="仿宋_GB2312"/>
          <w:bCs/>
          <w:color w:val="auto"/>
          <w:sz w:val="32"/>
          <w:lang w:val="en-US" w:eastAsia="zh-CN"/>
        </w:rPr>
        <w:t>30</w:t>
      </w:r>
      <w:r>
        <w:rPr>
          <w:rFonts w:hint="eastAsia" w:ascii="仿宋_GB2312" w:eastAsia="仿宋_GB2312"/>
          <w:bCs/>
          <w:color w:val="auto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firstLine="640" w:firstLineChars="200"/>
        <w:textAlignment w:val="auto"/>
        <w:outlineLvl w:val="9"/>
        <w:rPr>
          <w:rFonts w:ascii="仿宋_GB2312" w:hAnsi="仿宋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方正小标宋简体" w:hAnsi="华文中宋" w:eastAsia="方正小标宋简体"/>
          <w:color w:val="auto"/>
          <w:spacing w:val="-14"/>
          <w:sz w:val="44"/>
          <w:szCs w:val="44"/>
        </w:rPr>
      </w:pPr>
      <w:r>
        <w:rPr>
          <w:rFonts w:ascii="仿宋_GB2312" w:hAnsi="仿宋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方正小标宋简体" w:hAnsi="华文中宋" w:eastAsia="方正小标宋简体"/>
          <w:color w:val="auto"/>
          <w:spacing w:val="-14"/>
          <w:sz w:val="44"/>
          <w:szCs w:val="44"/>
        </w:rPr>
        <w:t>台儿庄区开展“两全两高”农业机械化发展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0" w:leftChars="0"/>
        <w:jc w:val="center"/>
        <w:textAlignment w:val="auto"/>
        <w:outlineLvl w:val="9"/>
        <w:rPr>
          <w:rFonts w:ascii="Times New Roman" w:hAnsi="Times New Roman" w:eastAsia="仿宋"/>
          <w:b/>
          <w:bCs/>
          <w:color w:val="auto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auto"/>
          <w:spacing w:val="-14"/>
          <w:sz w:val="44"/>
          <w:szCs w:val="44"/>
        </w:rPr>
        <w:t>推进行动实施方案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仿宋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为贯彻落实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山东省人民政府办公厅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关于加快新旧动能转换推进“两全两高”农业机械化发展的意见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要求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，推进全区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农业机械化向“全程全面、高质高效”发展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640" w:firstLineChars="200"/>
        <w:textAlignment w:val="auto"/>
        <w:outlineLvl w:val="9"/>
        <w:rPr>
          <w:rFonts w:hint="default" w:ascii="黑体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bCs/>
          <w:color w:val="auto"/>
          <w:sz w:val="32"/>
          <w:szCs w:val="32"/>
          <w:lang w:val="en-US" w:eastAsia="zh-CN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全面贯彻落实党的十九大精神，坚持以习近平新时代中国特色社会主义思想为指导，牢牢把握走在前列的目标定位，以争创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全省“两全两高”农业机械化示范县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为目标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以深化农业机械化供给侧结构性改革为主线，以加快新旧动能转换、推进“两全两高”农业机械化为统领，按照“立足大农业，面向现代化，发展新农机”的工作思路，坚持问题导向、目标导向、结果导向，着力解决发展不平衡不充分的问题，补齐全程机械化短板，突破全面机械化瓶颈，提升农业机械化质量效益，打造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台儿庄区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农业机械化升级版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（二）工作布局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按照全程引领、六业并举原则，科学布局，统筹推进。全程引领，即在全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巩固提升主要农作物生产全程机械化创建成果，引领推动农业机械化稳步健康发展。六业并举，即在持续提高种植业机械化水平的同时，同步推进畜牧业、渔业、林果业、设施农业和农产品初加工业机械化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楷体" w:hAnsi="楷体" w:eastAsia="楷体" w:cs="楷体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 突出重点，统筹兼顾。以小麦、玉米、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水稻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等作物为主要对象，以耕整地、种植、收获、植保、秸秆处理、烘干仓储为主攻方向，兼顾其他作物以及牧渔林加各业机械化发展。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 因地制宜，分类指导。根据各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镇（街）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自然禀赋、经济条件和机械化水平等因素，优选适宜的农机装备、作物品种、产业布局、技术路线，积极推行具有区域特色的“两全两高”农业机械化发展模式。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3. 创新驱动，示范引领。积极推进产学研结合，加快农业机械化装备创新和示范推广，着力推动高端农机装备创新发展，突破关键技术，提高综合集成水平，以点上突破带动整体提升。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 市场主导，政策扶持。充分发挥市场在资源配置中的决定性作用，注重调动广大农民群众、农机合作社、农机大户等市场主体积极性。更好发挥政府作用，综合运用产业、财政、金融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政策，不断加大对农业机械化的扶持引导。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（一）巩固提升主要农作物生产全程机械化创建成果。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小麦、玉米等重点粮食作物关键环节，着力发展土地深松、宽幅精播、种肥同施、高效植保、秸秆利用、粮食烘干机械化，积极推进农机农艺深度融合。大力推进经济作物机械化发展，努力实现主要经济作物各生产环节机械化协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（二）促进农业生产全面机械化。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推广牧渔林加各业机械化技术，着力在部分用工较多、机械基本成熟的环节领域首先突破。畜牧业重点发展青饲料收获、畜禽养殖、畜产品采集、畜禽粪污和病死畜禽处理机械化；水产养殖业重点发展水产品精准饲喂、水质调控等设施装备；林果业重点发展果树管理与果实采摘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中耕、施肥、植保、除草、修剪等现代化装备；设施农业重点发展灌溉施肥、环境调控等设施装备；农产品初加工业重点发展储藏、保鲜、烘干、清选分级、包装等设施装备，努力实现农村各业机械化全面发展。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（三）提高农业机械化质量。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严格农机产品质量、作业质量、维修质量标准体系，示范推广精准智能机械设备和标准化作业技术，鼓励已有机械加装、新出厂机械配备作业质量监控设备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实施土地深松等政策性补助作业项目的机械，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都要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配备作业质量监控设备。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（四）增加农业机械化效益。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积极示范推广节本增效、绿色环保机械化技术，推进我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农机装备水平提档升级。大力培育新型农机经营主体和服务主体，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以农机专业合作社为载体，为主要农作物生产提供部分环节或全过程作业环节的托管服务，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加快发展土地流转型、服务带动型等多种形式规模经营；积极推动农机合作社转型提升，拓展农业机械化服务领域，拉长农业机械化服务链条，推动品牌化经营，促进农业增效、农民增收、农村增绿。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（一）推动农机装备优化升级。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认真贯彻、积极对接《中国制造2025》和山东省行动纲要，着力提升农业机械科技创新能力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着力填空白、补弱项、提质量，重点突破作业对象信息感知、决策智控、智能导航、实验检测等应用基础技术，促进大型与专用拖拉机、田间作业及收获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等主导产品智能技术的推广应用，有效提高农机装备供给水平。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（二）提升农机技术推广水平。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加强农机农艺融合技术示范推广，针对我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粮食作物和优势经济作物，总结形成不同区域、不同作物、不同规模的农机装备配套标准、机械化技术模式和技术规程，实现农机作业、作物品种、栽培模式相互适应、深度融合。协调推进畜禽、水产养殖、林果和种苗管理、饲草生产、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等机械化技术示范，提高不同领域机械化水平。鼓励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农机合作社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与农机装备企业建立对接平台，开展先进农机装备和农业生产示范，构建公益性推广与经营性推广协作互补的机制。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（三）强化农机服务主体培育。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农机户为基础、合作与联合为纽带，农机社会化服务为支撑，建立以农机合作社为主导的“覆盖全程、服务全面，机制灵活、运转高效，综合配套、保障有力”的农机社会化服务体系。鼓励开展农机跨区作业、土地流转、生产托管、订单作业等多种形式适度规模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（四）实施“智慧农机”建设工程。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互联网、物联网、云计算、大数据等信息技术改造提升农业机械化，促进信息化与农机装备、作业生产、管理服务深度融合，实现装备智能化、作业精准化、管理数据化、服务在线化。推动在大型拖拉机、联合收获机、深松机等重点机具上装载北斗导航、智能监控等信息装备，提高农机装备信息收集、智能决策和精准作业能力。建设农业机械化综合管理服务平台，开展农机管理、市场对接、机具调度、服务保障等信息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（五）加大农机人才培育力度。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施人才强机战略，通过政企联动、企社结合，建立农机人才培育实训基地，造就一支准确把握农业机械化发展趋势、科技素养好、开拓能力强的管理干部队伍，打造一支结构合理、业务精通、热爱农机事业的农业机械化技术人才队伍，培育一批既精通农机驾驶、维修技术又懂农业、农艺栽培技术，同时又会农机经营管理的新型农机手、职业农机经营者、合作社带头人。积极开展农机维修、驾驶操作职业技能竞赛，选拔培育一批爱农机、善钻研、技艺精的“农机工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（六）加强农机安全生产保障。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深化巩固全国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“平安农机”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示范县成果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积极推广应用先进农机监理装备技术。探索建设农机安全应急救援中心，切实保障农忙季节跨区作业机具安全有序流动、故障及时排除和事故有效处理。严格执行农业机械化标准，完善农机教育培训、维修指导和质量投诉监管等制度，提升农机化公共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（一）强化组织领导。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各级各部门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要将创建全省“两全两高”农业机械化示范县作为全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现代农业发展的重要抓手，成立专门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领导小组，具体负责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2021年争创全省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“两全两高”农业机械化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示范县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组织领导工作。要把加快推进“两全两高”农业机械化作为实施乡村振兴战略的重要措施，制定发展规划，明确发展目标，强化组织协调，落实工作责任，全力推进。进一步加强农业机械化管理队伍建设，切实保障工作经费，及时研究解决农业机械化发展的突出问题，为推动“两全两高”农业机械化提供有力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（二）强化部门协作。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相关部门要按照职责分工，密切配合，加强指导。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农业农村局要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认真履行规划指导、监督管理、协调服务职能，做好生产组织、技术推广等工作，加强相关财政支农项目监督管理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大力推进规模化、标准化生产，积极为机械化作业创造条件，做好农机安全管理；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加大对高端农业机械项目的扶持；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落实农机购置补贴、深松整地补贴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土地托管服务补贴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等相关扶持资金，保证农机购置补贴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土地深松作业补贴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和土地托管服务补贴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工作经费，加强资金监管；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加大对农业机械化科研开发支持力度；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商务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和投资促进局要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加强对农机流通行业的规范指导；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加强农机产品质量监管，配合有关部门加强农机市场管理；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服务中心要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引导、督促金融机构积极开展农机信贷、农机保险等业务；其他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根据职责，积极支持“两全两高”农业机械化发展。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（三）强化政策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资金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扶持。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大力支持“两全两高”农业机械化示范创建工作，把推进“两全两高”农业机械化纳入重点支持范围。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根据创建目标，加强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畜牧业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和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渔业机械化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薄弱环节的发展和扶持力度，采取先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装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后补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、先国家补贴再累加补贴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的形式按照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eastAsia="zh-CN"/>
        </w:rPr>
        <w:t>不高于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国家补贴标准对</w:t>
      </w:r>
      <w:r>
        <w:rPr>
          <w:rFonts w:hint="eastAsia" w:ascii="仿宋_GB2312" w:hAnsi="仿宋" w:eastAsia="仿宋_GB2312" w:cs="仿宋_GB2312"/>
          <w:color w:val="auto"/>
          <w:sz w:val="32"/>
          <w:szCs w:val="32"/>
          <w:lang w:val="en-US" w:eastAsia="zh-CN"/>
        </w:rPr>
        <w:t>饲草料生产和加工机械、饲料投喂机械、环境控制机械、水质调控机械、畜禽粪污处理机械</w:t>
      </w:r>
      <w:r>
        <w:rPr>
          <w:rFonts w:hint="eastAsia" w:ascii="仿宋_GB2312" w:hAnsi="仿宋" w:eastAsia="仿宋_GB2312" w:cs="仿宋_GB2312"/>
          <w:color w:val="auto"/>
          <w:sz w:val="32"/>
          <w:szCs w:val="32"/>
        </w:rPr>
        <w:t>进行累加补贴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加速“两全两高”农业机械化关键急需机具推广应用。不断健全完善农机作业补助政策，在巩固土地机械深松作业补助的基础上，逐步拓展机械作业范围。注重放大财政资金盘活、整合、撬动作用，积极探索开展大型农机贴息贷款、抵押贷款、政策性担保和融资租赁业务；鼓励研究实行农机保险补贴制度，将农机保险纳入农业政策性保险范畴；引导支持社会资本发展农业机械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（四）强化示范创建。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范围内组织开展“两全两高”农业机械化示范创建活动，各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镇（街）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要立足实际，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制定实施方案，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大力开展“两全两高”农业机械化示范创建活动，通过建立示范基地，培育典型，打造样板，有条件的地方实施整村、整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镇（街）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集中连片整建制推进，引领推动全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“两全两高”农业机械化加速发展。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（五）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强化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督查考核。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区农业农村局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要会同有关部门加强对加快新旧动能转换推进“两全两高”农业机械化发展示范建设项目的评估验收。要加强项目实施过程中的督导检查，对于推进不力、严重影响全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加快新旧动能转换推进“两全两高”农业机械化推进进程的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镇（街）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进行通报批评，对工作开展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好、有特色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亮点的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镇（街）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给予表彰奖励。各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镇（街）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要结合本地实际，制定科学的绩效考评机制，加强监测评价，及时掌握进度，助攻薄弱环节，确保如期实现发展目标。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  <w:sectPr>
          <w:footerReference r:id="rId3" w:type="default"/>
          <w:pgSz w:w="11906" w:h="16838"/>
          <w:pgMar w:top="1984" w:right="1587" w:bottom="1984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outlineLvl w:val="9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仿宋" w:eastAsia="方正小标宋简体" w:cs="华文中宋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 w:cs="华文中宋"/>
          <w:bCs/>
          <w:color w:val="auto"/>
          <w:spacing w:val="-20"/>
          <w:sz w:val="44"/>
          <w:szCs w:val="44"/>
        </w:rPr>
        <w:t>台儿庄区开展“两全两高”农业机械化发展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方正小标宋简体" w:hAnsi="仿宋" w:eastAsia="方正小标宋简体" w:cs="华文中宋"/>
          <w:bCs/>
          <w:color w:val="auto"/>
          <w:spacing w:val="-20"/>
          <w:sz w:val="44"/>
          <w:szCs w:val="44"/>
        </w:rPr>
      </w:pPr>
      <w:r>
        <w:rPr>
          <w:rFonts w:hint="eastAsia" w:ascii="方正小标宋简体" w:hAnsi="仿宋" w:eastAsia="方正小标宋简体" w:cs="华文中宋"/>
          <w:bCs/>
          <w:color w:val="auto"/>
          <w:spacing w:val="-20"/>
          <w:sz w:val="44"/>
          <w:szCs w:val="44"/>
        </w:rPr>
        <w:t>推进行动工作领导小组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280" w:firstLineChars="4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组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杨  庸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区政府副区长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副组长：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王  涛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区政府党组成员、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办公室主任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赵常国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农业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局局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成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</w:rPr>
        <w:t>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尤永强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发展改革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局局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马伊娜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科技局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张  勇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财政局局长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涛  区商务和投资促进局局长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王脉博 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市场监管局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局长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黄  伟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金融服务中心主任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鹏  张山子镇镇长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关继元  涧头集镇镇长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王茂爽  运河街道办事处主任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赵恒洽  邳庄镇镇长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郭厚琛  马兰屯镇镇长</w:t>
      </w:r>
    </w:p>
    <w:p>
      <w:pPr>
        <w:pStyle w:val="1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李  智  泥沟镇镇长</w:t>
      </w:r>
    </w:p>
    <w:p>
      <w:pPr>
        <w:pStyle w:val="1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领导小组下设办公室，办公室设在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区农业农村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局，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赵常国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任办公室主任。</w:t>
      </w:r>
    </w:p>
    <w:sectPr>
      <w:pgSz w:w="11906" w:h="16838"/>
      <w:pgMar w:top="1984" w:right="1587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25"/>
    <w:rsid w:val="00051344"/>
    <w:rsid w:val="000F00FB"/>
    <w:rsid w:val="001C1532"/>
    <w:rsid w:val="00222BC1"/>
    <w:rsid w:val="002346A1"/>
    <w:rsid w:val="00281BC8"/>
    <w:rsid w:val="002C4D35"/>
    <w:rsid w:val="002F760B"/>
    <w:rsid w:val="00330B2E"/>
    <w:rsid w:val="00384692"/>
    <w:rsid w:val="004213F1"/>
    <w:rsid w:val="00455326"/>
    <w:rsid w:val="004F4782"/>
    <w:rsid w:val="00545D14"/>
    <w:rsid w:val="005D5CA3"/>
    <w:rsid w:val="00600406"/>
    <w:rsid w:val="00632928"/>
    <w:rsid w:val="006443C7"/>
    <w:rsid w:val="00652E9C"/>
    <w:rsid w:val="00666108"/>
    <w:rsid w:val="006A1D5F"/>
    <w:rsid w:val="0071343D"/>
    <w:rsid w:val="00740B4D"/>
    <w:rsid w:val="007C0705"/>
    <w:rsid w:val="00886C07"/>
    <w:rsid w:val="008A4CA2"/>
    <w:rsid w:val="008E7FC6"/>
    <w:rsid w:val="009B3574"/>
    <w:rsid w:val="009C05A3"/>
    <w:rsid w:val="009C1AFD"/>
    <w:rsid w:val="00A02271"/>
    <w:rsid w:val="00AA7825"/>
    <w:rsid w:val="00AE319A"/>
    <w:rsid w:val="00B157AE"/>
    <w:rsid w:val="00B77367"/>
    <w:rsid w:val="00BD16C7"/>
    <w:rsid w:val="00BE0F5D"/>
    <w:rsid w:val="00C14B56"/>
    <w:rsid w:val="00CB2C0D"/>
    <w:rsid w:val="00CC0CE2"/>
    <w:rsid w:val="00DB26DC"/>
    <w:rsid w:val="00E27A46"/>
    <w:rsid w:val="00ED5F85"/>
    <w:rsid w:val="00F564B8"/>
    <w:rsid w:val="00FC3F5A"/>
    <w:rsid w:val="00FD7CF8"/>
    <w:rsid w:val="01772CC9"/>
    <w:rsid w:val="03B63A12"/>
    <w:rsid w:val="05A22164"/>
    <w:rsid w:val="05CC2B6E"/>
    <w:rsid w:val="065076D7"/>
    <w:rsid w:val="08BC7DBE"/>
    <w:rsid w:val="094A5B2B"/>
    <w:rsid w:val="09D91E56"/>
    <w:rsid w:val="0B9E3774"/>
    <w:rsid w:val="0C495C7B"/>
    <w:rsid w:val="0D7E2EE4"/>
    <w:rsid w:val="0F6B17CC"/>
    <w:rsid w:val="0FAA6EFE"/>
    <w:rsid w:val="13B0136E"/>
    <w:rsid w:val="158F78B0"/>
    <w:rsid w:val="16B309B7"/>
    <w:rsid w:val="1913062D"/>
    <w:rsid w:val="19CE7577"/>
    <w:rsid w:val="1C902E92"/>
    <w:rsid w:val="1DB714F7"/>
    <w:rsid w:val="1F597474"/>
    <w:rsid w:val="20245DA0"/>
    <w:rsid w:val="24F53390"/>
    <w:rsid w:val="27E64771"/>
    <w:rsid w:val="27F004B1"/>
    <w:rsid w:val="2ADD6F87"/>
    <w:rsid w:val="2D051E0F"/>
    <w:rsid w:val="31833991"/>
    <w:rsid w:val="327337A0"/>
    <w:rsid w:val="39E82A7E"/>
    <w:rsid w:val="3AC90BE2"/>
    <w:rsid w:val="3B186FDC"/>
    <w:rsid w:val="3B9A7FCB"/>
    <w:rsid w:val="3D7F4AD8"/>
    <w:rsid w:val="3E18684F"/>
    <w:rsid w:val="3EA63D05"/>
    <w:rsid w:val="3FEA6422"/>
    <w:rsid w:val="418B5613"/>
    <w:rsid w:val="425F6266"/>
    <w:rsid w:val="42995C47"/>
    <w:rsid w:val="44B9032C"/>
    <w:rsid w:val="457B7D87"/>
    <w:rsid w:val="45C776DB"/>
    <w:rsid w:val="461C60CF"/>
    <w:rsid w:val="46666D3B"/>
    <w:rsid w:val="46A06BD5"/>
    <w:rsid w:val="47C64589"/>
    <w:rsid w:val="48067892"/>
    <w:rsid w:val="49DE2690"/>
    <w:rsid w:val="4B8A4A6D"/>
    <w:rsid w:val="4B900503"/>
    <w:rsid w:val="4C6B7A2E"/>
    <w:rsid w:val="4CDA3E71"/>
    <w:rsid w:val="4FA97B1B"/>
    <w:rsid w:val="51DA38A5"/>
    <w:rsid w:val="55837264"/>
    <w:rsid w:val="565D6569"/>
    <w:rsid w:val="570F2D1F"/>
    <w:rsid w:val="59C96DD4"/>
    <w:rsid w:val="5A110F80"/>
    <w:rsid w:val="5A75112B"/>
    <w:rsid w:val="5B6C347E"/>
    <w:rsid w:val="5C893B8B"/>
    <w:rsid w:val="5D94212E"/>
    <w:rsid w:val="62266F6A"/>
    <w:rsid w:val="62AC3FB1"/>
    <w:rsid w:val="63827EDB"/>
    <w:rsid w:val="63CE4F01"/>
    <w:rsid w:val="645B6706"/>
    <w:rsid w:val="67314DE1"/>
    <w:rsid w:val="679603E9"/>
    <w:rsid w:val="67CE1C04"/>
    <w:rsid w:val="69C848D0"/>
    <w:rsid w:val="6C9A0375"/>
    <w:rsid w:val="6CDF0525"/>
    <w:rsid w:val="6D2B605D"/>
    <w:rsid w:val="6FA17AD0"/>
    <w:rsid w:val="701E50F6"/>
    <w:rsid w:val="70613971"/>
    <w:rsid w:val="717372FB"/>
    <w:rsid w:val="72B23B17"/>
    <w:rsid w:val="72C85AD7"/>
    <w:rsid w:val="72ED6AAB"/>
    <w:rsid w:val="73F302A7"/>
    <w:rsid w:val="75A547AF"/>
    <w:rsid w:val="76611607"/>
    <w:rsid w:val="76F719F8"/>
    <w:rsid w:val="771C0F35"/>
    <w:rsid w:val="780252D2"/>
    <w:rsid w:val="7928233A"/>
    <w:rsid w:val="797D01FE"/>
    <w:rsid w:val="7AE07D47"/>
    <w:rsid w:val="7C9569C6"/>
    <w:rsid w:val="7E1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4"/>
    <w:semiHidden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locked/>
    <w:uiPriority w:val="0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444444"/>
      <w:u w:val="none"/>
    </w:rPr>
  </w:style>
  <w:style w:type="character" w:styleId="9">
    <w:name w:val="Emphasis"/>
    <w:basedOn w:val="6"/>
    <w:qFormat/>
    <w:locked/>
    <w:uiPriority w:val="0"/>
  </w:style>
  <w:style w:type="character" w:styleId="10">
    <w:name w:val="HTML Definition"/>
    <w:basedOn w:val="6"/>
    <w:semiHidden/>
    <w:unhideWhenUsed/>
    <w:qFormat/>
    <w:uiPriority w:val="99"/>
    <w:rPr>
      <w:i/>
    </w:rPr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444444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6"/>
    <w:semiHidden/>
    <w:unhideWhenUsed/>
    <w:qFormat/>
    <w:uiPriority w:val="99"/>
  </w:style>
  <w:style w:type="character" w:styleId="15">
    <w:name w:val="HTML Keyboard"/>
    <w:basedOn w:val="6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6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paragraph" w:customStyle="1" w:styleId="18">
    <w:name w:val="p0"/>
    <w:basedOn w:val="1"/>
    <w:qFormat/>
    <w:uiPriority w:val="99"/>
    <w:pPr>
      <w:widowControl/>
    </w:pPr>
    <w:rPr>
      <w:rFonts w:cs="宋体"/>
      <w:kern w:val="0"/>
      <w:szCs w:val="21"/>
    </w:rPr>
  </w:style>
  <w:style w:type="character" w:customStyle="1" w:styleId="19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脚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jedateymchri"/>
    <w:basedOn w:val="6"/>
    <w:qFormat/>
    <w:uiPriority w:val="0"/>
    <w:rPr>
      <w:color w:val="1F547E"/>
      <w:sz w:val="24"/>
      <w:szCs w:val="24"/>
      <w:shd w:val="clear" w:fill="ECF4FB"/>
    </w:rPr>
  </w:style>
  <w:style w:type="character" w:customStyle="1" w:styleId="22">
    <w:name w:val="jedateymchle"/>
    <w:basedOn w:val="6"/>
    <w:qFormat/>
    <w:uiPriority w:val="0"/>
    <w:rPr>
      <w:color w:val="1F547E"/>
      <w:sz w:val="24"/>
      <w:szCs w:val="24"/>
      <w:shd w:val="clear" w:fill="ECF4FB"/>
    </w:rPr>
  </w:style>
  <w:style w:type="character" w:customStyle="1" w:styleId="23">
    <w:name w:val="jedateymchok"/>
    <w:basedOn w:val="6"/>
    <w:qFormat/>
    <w:uiPriority w:val="0"/>
    <w:rPr>
      <w:color w:val="FFFFFF"/>
      <w:sz w:val="18"/>
      <w:szCs w:val="18"/>
      <w:shd w:val="clear" w:fill="00A1CB"/>
    </w:rPr>
  </w:style>
  <w:style w:type="character" w:customStyle="1" w:styleId="24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4273</Words>
  <Characters>4289</Characters>
  <Lines>50</Lines>
  <Paragraphs>14</Paragraphs>
  <TotalTime>83</TotalTime>
  <ScaleCrop>false</ScaleCrop>
  <LinksUpToDate>false</LinksUpToDate>
  <CharactersWithSpaces>4349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2018-07-25T03:45:00Z</dcterms:created>
  <dc:creator>Administrator</dc:creator>
  <cp:lastModifiedBy>Administrator</cp:lastModifiedBy>
  <cp:lastPrinted>2021-03-19T02:39:00Z</cp:lastPrinted>
  <dcterms:modified xsi:type="dcterms:W3CDTF">2021-05-07T06:13:53Z</dcterms:modified>
  <dc:title>台儿庄区人民政府办公室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  <property fmtid="{D5CDD505-2E9C-101B-9397-08002B2CF9AE}" pid="3" name="ICV">
    <vt:lpwstr>F4602DD1B2BD466B879617D1C1EC3675</vt:lpwstr>
  </property>
</Properties>
</file>